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monumental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Derrick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Hiebert,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headquarters.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Derrick,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Derrick Hiebert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enthusiasm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Derrick Hiebert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disposal.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HMGP,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cost-effective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Derrick,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Derrick Hiebert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permanent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20%,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enhanced,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parishes,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undamaged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HMGP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post-disaster,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culvert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HMGP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acquisitions,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reconstruction,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HMGP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nutshell.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congressionally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Princeville,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large-scale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retrofits,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seismic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retrofits,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large-scale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NFIP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flavors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Safeguarding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jurisdictions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disadvantaged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Post-Fire,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HMGP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AssistanceSwift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NFIP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damaged,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50%,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Derrick Hiebert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HMGP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12.5%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12.5%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HMGP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jurisdictions,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purgatory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Scoping.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HMGP,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HMGP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restrictive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HMGP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HMGP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HMGP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eligibility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restrictive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Derrick Hiebert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Derrick Hiebert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Derrick Hiebert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obligated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$2.1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2.1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damaged.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pre-disaster,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Cascadia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earthquake.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fragile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pre-disaster.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consequences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428.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restored.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428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roofing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tornado,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roofing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catastrophic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Derrick Hiebert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non-functional.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FCO,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deploys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post-disaster,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substantial,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Beatrice,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Nebraska.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Beatrice.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amidst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acquisitions.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Derrick Hiebert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acquisitions,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calculates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damages.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threatened,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declaration.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"Congratulations!"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threshold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consequences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Derrick Hiebert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disadvantaged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triumph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pipeline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1968.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culvert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deploying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triumph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emphasis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Derrick Hiebert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knee-jerk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outdoors?"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tsunami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catastrophic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earthquake.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festivals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evacuation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evacuation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prosperity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evacuate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tsunami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Derrick,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Derrick Hiebert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cross-cutting,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impediment,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comprehensively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bipartisan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disadvantaged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Safeguarding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consequences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5.5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oversubscribed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inroads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Missouri.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Alaska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Alaska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Villages,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$60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disadvantage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Louisiana,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FEMA.gov/podcast.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