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Montanari,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Montanari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Pinellas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800-megahertz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Pinellas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Petersburg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Varney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NTIA.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after-action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LMR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Montanari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Interoperability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Montanari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all-inclusive,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Montanari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Montanari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Interoperability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Montanari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Varney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lobbied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Varney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Varney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ubiquitous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LMR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Varney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procurement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AT&amp;T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AT&amp;T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AT&amp;T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credentialed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Varney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provisioned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preemptive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congested,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preemptive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congested,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AT&amp;T's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bandwidth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provisioned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Varney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27,500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encompasses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ESFs,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preemption.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preemptive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Montanari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large-scale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2-7-2,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Montanari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Verizon,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T-Mobile,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conjunction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FCC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FCC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TSP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Montanari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EOCs,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9-1-1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Montanari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Varney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backhaul,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satellite,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reconstituting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Varney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mini-cell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Montanari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interoperability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tornadoes.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Varney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interoperability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fema.gov/podcast.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