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Montanari,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Pinellas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800-megahertz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Pinellas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Petersburg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after-action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Interoperability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all-inclusive,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Interoperability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ubiquitous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LMR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AT&amp;T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AT&amp;T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AT&amp;T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AT&amp;T's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preemptive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large-scale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2-7-2,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T-Mobile,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9-1-1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high-risk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backhaul,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satellite,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reconstituting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mini-cell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 Montanari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interoperability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Varney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interoperability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